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92" w:rsidRPr="001B7867" w:rsidRDefault="006E6492" w:rsidP="006E6492">
      <w:pPr>
        <w:shd w:val="clear" w:color="auto" w:fill="FFFFFF"/>
        <w:spacing w:after="100" w:afterAutospacing="1" w:line="240" w:lineRule="auto"/>
        <w:jc w:val="center"/>
        <w:rPr>
          <w:rFonts w:asciiTheme="majorHAnsi" w:eastAsia="Times New Roman" w:hAnsiTheme="majorHAnsi" w:cs="Times New Roman"/>
          <w:b/>
          <w:bCs/>
          <w:color w:val="000000"/>
          <w:sz w:val="24"/>
          <w:szCs w:val="24"/>
        </w:rPr>
      </w:pPr>
      <w:r w:rsidRPr="001B7867">
        <w:rPr>
          <w:rFonts w:asciiTheme="majorHAnsi" w:eastAsia="Times New Roman" w:hAnsiTheme="majorHAnsi" w:cs="Times New Roman"/>
          <w:b/>
          <w:bCs/>
          <w:color w:val="000000"/>
          <w:sz w:val="24"/>
          <w:szCs w:val="24"/>
        </w:rPr>
        <w:t xml:space="preserve">Massachusetts Youth Screening Inventory – Second Version </w:t>
      </w:r>
    </w:p>
    <w:p w:rsidR="006E6492" w:rsidRPr="001B7867" w:rsidRDefault="006E6492" w:rsidP="006E6492">
      <w:pPr>
        <w:shd w:val="clear" w:color="auto" w:fill="FFFFFF"/>
        <w:spacing w:after="100" w:afterAutospacing="1" w:line="240" w:lineRule="auto"/>
        <w:jc w:val="center"/>
        <w:rPr>
          <w:rFonts w:asciiTheme="majorHAnsi" w:eastAsia="Times New Roman" w:hAnsiTheme="majorHAnsi" w:cs="Times New Roman"/>
          <w:b/>
          <w:bCs/>
          <w:color w:val="000000"/>
          <w:sz w:val="24"/>
          <w:szCs w:val="24"/>
        </w:rPr>
      </w:pPr>
      <w:r w:rsidRPr="001B7867">
        <w:rPr>
          <w:rFonts w:asciiTheme="majorHAnsi" w:eastAsia="Times New Roman" w:hAnsiTheme="majorHAnsi" w:cs="Times New Roman"/>
          <w:b/>
          <w:bCs/>
          <w:color w:val="000000"/>
          <w:sz w:val="24"/>
          <w:szCs w:val="24"/>
        </w:rPr>
        <w:t>(MAYSI-2)</w:t>
      </w:r>
    </w:p>
    <w:p w:rsidR="001B7867" w:rsidRDefault="007E6FF1" w:rsidP="006E6492">
      <w:pPr>
        <w:spacing w:after="0" w:line="240" w:lineRule="auto"/>
        <w:rPr>
          <w:rFonts w:asciiTheme="majorHAnsi" w:eastAsia="Times New Roman" w:hAnsiTheme="majorHAnsi" w:cs="Times New Roman"/>
          <w:b/>
          <w:bCs/>
          <w:color w:val="000000"/>
          <w:sz w:val="24"/>
          <w:szCs w:val="24"/>
        </w:rPr>
      </w:pPr>
      <w:r>
        <w:rPr>
          <w:rFonts w:ascii="Verdana" w:hAnsi="Verdana"/>
          <w:color w:val="000000"/>
        </w:rPr>
        <w:t xml:space="preserve">Screening for mental health needs on early contact with youth in juvenile justice settings has become standard practice nationwide. Research consistently shows that 70% of Youth involved in the juvenile justice system have a diagnosable mental health issues (depression, anxiety, bi-polar disorder, PTSD, attachment issues, abuse issues), compared to 20% of Youth in the general population (Surgeon General). </w:t>
      </w:r>
    </w:p>
    <w:p w:rsidR="007E6FF1" w:rsidRDefault="007E6FF1" w:rsidP="006E6492">
      <w:pPr>
        <w:spacing w:after="0" w:line="240" w:lineRule="auto"/>
        <w:rPr>
          <w:rFonts w:asciiTheme="majorHAnsi" w:eastAsia="Times New Roman" w:hAnsiTheme="majorHAnsi" w:cs="Times New Roman"/>
          <w:b/>
          <w:bCs/>
          <w:color w:val="000000"/>
          <w:sz w:val="24"/>
          <w:szCs w:val="24"/>
        </w:rPr>
      </w:pPr>
    </w:p>
    <w:p w:rsidR="007E6FF1" w:rsidRPr="001B7867" w:rsidRDefault="007E6FF1" w:rsidP="006E6492">
      <w:pPr>
        <w:spacing w:after="0" w:line="240" w:lineRule="auto"/>
        <w:rPr>
          <w:rFonts w:asciiTheme="majorHAnsi" w:eastAsia="Times New Roman" w:hAnsiTheme="majorHAnsi" w:cs="Times New Roman"/>
          <w:b/>
          <w:bCs/>
          <w:color w:val="000000"/>
          <w:sz w:val="24"/>
          <w:szCs w:val="24"/>
        </w:rPr>
      </w:pPr>
    </w:p>
    <w:p w:rsidR="006E6492" w:rsidRPr="001B7867" w:rsidRDefault="006E6492" w:rsidP="006E6492">
      <w:pPr>
        <w:shd w:val="clear" w:color="auto" w:fill="FFFFFF"/>
        <w:spacing w:after="100" w:afterAutospacing="1" w:line="240" w:lineRule="auto"/>
        <w:rPr>
          <w:rFonts w:asciiTheme="majorHAnsi" w:eastAsia="Times New Roman" w:hAnsiTheme="majorHAnsi" w:cs="Times New Roman"/>
          <w:b/>
          <w:bCs/>
          <w:color w:val="000000"/>
          <w:sz w:val="24"/>
          <w:szCs w:val="24"/>
        </w:rPr>
      </w:pPr>
      <w:r w:rsidRPr="001B7867">
        <w:rPr>
          <w:rFonts w:asciiTheme="majorHAnsi" w:eastAsia="Times New Roman" w:hAnsiTheme="majorHAnsi" w:cs="Times New Roman"/>
          <w:b/>
          <w:bCs/>
          <w:color w:val="000000"/>
          <w:sz w:val="24"/>
          <w:szCs w:val="24"/>
        </w:rPr>
        <w:t>What it is</w:t>
      </w:r>
    </w:p>
    <w:p w:rsidR="001B7867" w:rsidRPr="001B7867" w:rsidRDefault="001B7867" w:rsidP="006E6492">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6E6492">
        <w:rPr>
          <w:rFonts w:asciiTheme="majorHAnsi" w:eastAsia="Times New Roman" w:hAnsiTheme="majorHAnsi" w:cs="Arial"/>
          <w:sz w:val="24"/>
          <w:szCs w:val="24"/>
        </w:rPr>
        <w:t>The MAYSI-2 is a mental health screening tool to assist juvenile justice facilities in identifying youths 12-17 years old who may have special mental health needs requiring immediate attention</w:t>
      </w:r>
      <w:r w:rsidRPr="001B7867">
        <w:rPr>
          <w:rFonts w:asciiTheme="majorHAnsi" w:eastAsia="Times New Roman" w:hAnsiTheme="majorHAnsi" w:cs="Times New Roman"/>
          <w:color w:val="000000"/>
          <w:sz w:val="24"/>
          <w:szCs w:val="24"/>
        </w:rPr>
        <w:t xml:space="preserve"> </w:t>
      </w:r>
    </w:p>
    <w:p w:rsidR="001B7867" w:rsidRPr="001B7867" w:rsidRDefault="001B7867" w:rsidP="006E6492">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color w:val="000000"/>
          <w:sz w:val="24"/>
          <w:szCs w:val="24"/>
        </w:rPr>
        <w:t>P</w:t>
      </w:r>
      <w:r w:rsidR="006E6492" w:rsidRPr="006E6492">
        <w:rPr>
          <w:rFonts w:asciiTheme="majorHAnsi" w:eastAsia="Times New Roman" w:hAnsiTheme="majorHAnsi" w:cs="Times New Roman"/>
          <w:color w:val="000000"/>
          <w:sz w:val="24"/>
          <w:szCs w:val="24"/>
        </w:rPr>
        <w:t>aper-and-pencil self-report inventory of 52 questions</w:t>
      </w:r>
      <w:r w:rsidRPr="001B7867">
        <w:rPr>
          <w:rFonts w:asciiTheme="majorHAnsi" w:eastAsia="Times New Roman" w:hAnsiTheme="majorHAnsi" w:cs="Times New Roman"/>
          <w:color w:val="000000"/>
          <w:sz w:val="24"/>
          <w:szCs w:val="24"/>
        </w:rPr>
        <w:t>, administered for timeframe of last 3 months</w:t>
      </w:r>
      <w:r w:rsidR="006E6492" w:rsidRPr="006E6492">
        <w:rPr>
          <w:rFonts w:asciiTheme="majorHAnsi" w:eastAsia="Times New Roman" w:hAnsiTheme="majorHAnsi" w:cs="Times New Roman"/>
          <w:color w:val="000000"/>
          <w:sz w:val="24"/>
          <w:szCs w:val="24"/>
        </w:rPr>
        <w:t xml:space="preserve"> </w:t>
      </w:r>
    </w:p>
    <w:p w:rsidR="001B7867" w:rsidRPr="00C95E22" w:rsidRDefault="001B7867" w:rsidP="001B7867">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6E6492">
        <w:rPr>
          <w:rFonts w:asciiTheme="majorHAnsi" w:eastAsia="Times New Roman" w:hAnsiTheme="majorHAnsi" w:cs="Arial"/>
          <w:sz w:val="24"/>
          <w:szCs w:val="24"/>
        </w:rPr>
        <w:t>It can be used at any entry or transitional placement point in the juvenile justice system (e.g., intake</w:t>
      </w:r>
      <w:r w:rsidRPr="001B7867">
        <w:rPr>
          <w:rFonts w:asciiTheme="majorHAnsi" w:eastAsia="Times New Roman" w:hAnsiTheme="majorHAnsi" w:cs="Arial"/>
          <w:sz w:val="24"/>
          <w:szCs w:val="24"/>
        </w:rPr>
        <w:t>,</w:t>
      </w:r>
      <w:r w:rsidRPr="006E6492">
        <w:rPr>
          <w:rFonts w:asciiTheme="majorHAnsi" w:eastAsia="Times New Roman" w:hAnsiTheme="majorHAnsi" w:cs="Arial"/>
          <w:sz w:val="24"/>
          <w:szCs w:val="24"/>
        </w:rPr>
        <w:t xml:space="preserve"> probation, pretrial detention, juvenile correctional programs</w:t>
      </w:r>
      <w:r w:rsidRPr="001B7867">
        <w:rPr>
          <w:rFonts w:asciiTheme="majorHAnsi" w:eastAsia="Times New Roman" w:hAnsiTheme="majorHAnsi" w:cs="Arial"/>
          <w:sz w:val="24"/>
          <w:szCs w:val="24"/>
        </w:rPr>
        <w:t>, diversion programs, aftercare programs</w:t>
      </w:r>
      <w:r w:rsidRPr="006E6492">
        <w:rPr>
          <w:rFonts w:asciiTheme="majorHAnsi" w:eastAsia="Times New Roman" w:hAnsiTheme="majorHAnsi" w:cs="Arial"/>
          <w:sz w:val="24"/>
          <w:szCs w:val="24"/>
        </w:rPr>
        <w:t>). </w:t>
      </w:r>
    </w:p>
    <w:p w:rsidR="001B7867" w:rsidRPr="001B7867" w:rsidRDefault="001B7867" w:rsidP="001B7867">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6E6492">
        <w:rPr>
          <w:rFonts w:asciiTheme="majorHAnsi" w:eastAsia="Times New Roman" w:hAnsiTheme="majorHAnsi" w:cs="Arial"/>
          <w:sz w:val="24"/>
          <w:szCs w:val="24"/>
        </w:rPr>
        <w:t>Since 2000, the MAYSI-2 has become one of the most widely used mental health screening tools in juvenile justice systems, having been adopted for statewide use in probation, detention, or juvenile corrections programs in 40 states.</w:t>
      </w:r>
    </w:p>
    <w:p w:rsidR="001B7867" w:rsidRPr="001B7867" w:rsidRDefault="001B7867" w:rsidP="001B7867">
      <w:pPr>
        <w:spacing w:after="0" w:line="240" w:lineRule="auto"/>
        <w:rPr>
          <w:rFonts w:asciiTheme="majorHAnsi" w:eastAsia="Times New Roman" w:hAnsiTheme="majorHAnsi" w:cs="Times New Roman"/>
          <w:b/>
          <w:bCs/>
          <w:color w:val="000000"/>
          <w:sz w:val="24"/>
          <w:szCs w:val="24"/>
        </w:rPr>
      </w:pPr>
      <w:r w:rsidRPr="001B7867">
        <w:rPr>
          <w:rFonts w:asciiTheme="majorHAnsi" w:eastAsia="Times New Roman" w:hAnsiTheme="majorHAnsi" w:cs="Times New Roman"/>
          <w:b/>
          <w:bCs/>
          <w:color w:val="000000"/>
          <w:sz w:val="24"/>
          <w:szCs w:val="24"/>
        </w:rPr>
        <w:t>History</w:t>
      </w:r>
    </w:p>
    <w:p w:rsidR="001B7867" w:rsidRPr="001B7867" w:rsidRDefault="001B7867" w:rsidP="001B7867">
      <w:pPr>
        <w:pStyle w:val="ListParagraph"/>
        <w:shd w:val="clear" w:color="auto" w:fill="FFFFFF"/>
        <w:spacing w:after="100" w:afterAutospacing="1" w:line="240" w:lineRule="auto"/>
        <w:rPr>
          <w:rFonts w:asciiTheme="majorHAnsi" w:eastAsia="Times New Roman" w:hAnsiTheme="majorHAnsi" w:cs="Times New Roman"/>
          <w:bCs/>
          <w:color w:val="000000"/>
          <w:sz w:val="24"/>
          <w:szCs w:val="24"/>
        </w:rPr>
      </w:pPr>
    </w:p>
    <w:p w:rsidR="001B7867" w:rsidRPr="001B7867" w:rsidRDefault="001B7867" w:rsidP="001B7867">
      <w:pPr>
        <w:pStyle w:val="ListParagraph"/>
        <w:numPr>
          <w:ilvl w:val="0"/>
          <w:numId w:val="5"/>
        </w:numPr>
        <w:shd w:val="clear" w:color="auto" w:fill="FFFFFF"/>
        <w:spacing w:after="100" w:afterAutospacing="1" w:line="240" w:lineRule="auto"/>
        <w:rPr>
          <w:rFonts w:asciiTheme="majorHAnsi" w:eastAsia="Times New Roman" w:hAnsiTheme="majorHAnsi" w:cs="Times New Roman"/>
          <w:bCs/>
          <w:color w:val="000000"/>
          <w:sz w:val="24"/>
          <w:szCs w:val="24"/>
        </w:rPr>
      </w:pPr>
      <w:r w:rsidRPr="001B7867">
        <w:rPr>
          <w:rFonts w:asciiTheme="majorHAnsi" w:eastAsia="Times New Roman" w:hAnsiTheme="majorHAnsi" w:cs="Times New Roman"/>
          <w:bCs/>
          <w:color w:val="000000"/>
          <w:sz w:val="24"/>
          <w:szCs w:val="24"/>
        </w:rPr>
        <w:t>Developed by Thomas Grisso, PhD &amp; Richard Barnum, MD at University of Mass Med School in the 1990s; Funded William T Grant foundation</w:t>
      </w:r>
    </w:p>
    <w:p w:rsidR="001B7867" w:rsidRPr="001B7867" w:rsidRDefault="001B7867" w:rsidP="001B7867">
      <w:pPr>
        <w:pStyle w:val="ListParagraph"/>
        <w:numPr>
          <w:ilvl w:val="0"/>
          <w:numId w:val="5"/>
        </w:numPr>
        <w:shd w:val="clear" w:color="auto" w:fill="FFFFFF"/>
        <w:spacing w:after="100" w:afterAutospacing="1" w:line="240" w:lineRule="auto"/>
        <w:rPr>
          <w:rFonts w:asciiTheme="majorHAnsi" w:eastAsia="Times New Roman" w:hAnsiTheme="majorHAnsi" w:cs="Times New Roman"/>
          <w:bCs/>
          <w:color w:val="000000"/>
          <w:sz w:val="24"/>
          <w:szCs w:val="24"/>
        </w:rPr>
      </w:pPr>
      <w:r w:rsidRPr="001B7867">
        <w:rPr>
          <w:rFonts w:asciiTheme="majorHAnsi" w:eastAsia="Times New Roman" w:hAnsiTheme="majorHAnsi" w:cs="Times New Roman"/>
          <w:bCs/>
          <w:color w:val="000000"/>
          <w:sz w:val="24"/>
          <w:szCs w:val="24"/>
        </w:rPr>
        <w:t xml:space="preserve">Made available in 2000 after sufficient research to establish initial </w:t>
      </w:r>
      <w:r w:rsidRPr="001B7867">
        <w:rPr>
          <w:rFonts w:asciiTheme="majorHAnsi" w:eastAsia="Times New Roman" w:hAnsiTheme="majorHAnsi" w:cs="Times New Roman"/>
          <w:b/>
          <w:bCs/>
          <w:color w:val="000000"/>
          <w:sz w:val="24"/>
          <w:szCs w:val="24"/>
        </w:rPr>
        <w:t xml:space="preserve">reliability and validity </w:t>
      </w:r>
      <w:r w:rsidRPr="001B7867">
        <w:rPr>
          <w:rFonts w:asciiTheme="majorHAnsi" w:eastAsia="Times New Roman" w:hAnsiTheme="majorHAnsi" w:cs="Times New Roman"/>
          <w:bCs/>
          <w:color w:val="000000"/>
          <w:sz w:val="24"/>
          <w:szCs w:val="24"/>
        </w:rPr>
        <w:t xml:space="preserve">(measures what is </w:t>
      </w:r>
      <w:proofErr w:type="spellStart"/>
      <w:r w:rsidRPr="001B7867">
        <w:rPr>
          <w:rFonts w:asciiTheme="majorHAnsi" w:eastAsia="Times New Roman" w:hAnsiTheme="majorHAnsi" w:cs="Times New Roman"/>
          <w:bCs/>
          <w:color w:val="000000"/>
          <w:sz w:val="24"/>
          <w:szCs w:val="24"/>
        </w:rPr>
        <w:t>suppose to</w:t>
      </w:r>
      <w:proofErr w:type="spellEnd"/>
      <w:r w:rsidRPr="001B7867">
        <w:rPr>
          <w:rFonts w:asciiTheme="majorHAnsi" w:eastAsia="Times New Roman" w:hAnsiTheme="majorHAnsi" w:cs="Times New Roman"/>
          <w:bCs/>
          <w:color w:val="000000"/>
          <w:sz w:val="24"/>
          <w:szCs w:val="24"/>
        </w:rPr>
        <w:t xml:space="preserve"> measure each time)</w:t>
      </w:r>
    </w:p>
    <w:p w:rsidR="001B7867" w:rsidRPr="001B7867" w:rsidRDefault="001B7867" w:rsidP="001B7867">
      <w:pPr>
        <w:pStyle w:val="ListParagraph"/>
        <w:numPr>
          <w:ilvl w:val="0"/>
          <w:numId w:val="5"/>
        </w:numPr>
        <w:shd w:val="clear" w:color="auto" w:fill="FFFFFF"/>
        <w:spacing w:after="100" w:afterAutospacing="1" w:line="240" w:lineRule="auto"/>
        <w:rPr>
          <w:rFonts w:asciiTheme="majorHAnsi" w:eastAsia="Times New Roman" w:hAnsiTheme="majorHAnsi" w:cs="Times New Roman"/>
          <w:bCs/>
          <w:color w:val="000000"/>
          <w:sz w:val="24"/>
          <w:szCs w:val="24"/>
        </w:rPr>
      </w:pPr>
      <w:r w:rsidRPr="006E6492">
        <w:rPr>
          <w:rFonts w:asciiTheme="majorHAnsi" w:eastAsia="Times New Roman" w:hAnsiTheme="majorHAnsi" w:cs="Times New Roman"/>
          <w:color w:val="000000"/>
          <w:sz w:val="24"/>
          <w:szCs w:val="24"/>
        </w:rPr>
        <w:t xml:space="preserve">Since 2000, technical assistance for use of the MAYSI-2 nationwide has been provided by the John D. and Catherine T. MacArthur Foundation’s support of the National Youth Screening and Assessment Project (NYSAP) at the University </w:t>
      </w:r>
      <w:r w:rsidRPr="001B7867">
        <w:rPr>
          <w:rFonts w:asciiTheme="majorHAnsi" w:eastAsia="Times New Roman" w:hAnsiTheme="majorHAnsi" w:cs="Times New Roman"/>
          <w:color w:val="000000"/>
          <w:sz w:val="24"/>
          <w:szCs w:val="24"/>
        </w:rPr>
        <w:t>of Massachusetts Medical School</w:t>
      </w:r>
    </w:p>
    <w:p w:rsidR="006E6492" w:rsidRPr="001B7867" w:rsidRDefault="006E6492" w:rsidP="006E6492">
      <w:pPr>
        <w:shd w:val="clear" w:color="auto" w:fill="FFFFFF"/>
        <w:spacing w:after="100" w:afterAutospacing="1" w:line="240" w:lineRule="auto"/>
        <w:rPr>
          <w:rFonts w:asciiTheme="majorHAnsi" w:eastAsia="Times New Roman" w:hAnsiTheme="majorHAnsi" w:cs="Times New Roman"/>
          <w:b/>
          <w:bCs/>
          <w:color w:val="000000"/>
          <w:sz w:val="24"/>
          <w:szCs w:val="24"/>
        </w:rPr>
      </w:pPr>
      <w:r w:rsidRPr="001B7867">
        <w:rPr>
          <w:rFonts w:asciiTheme="majorHAnsi" w:eastAsia="Times New Roman" w:hAnsiTheme="majorHAnsi" w:cs="Times New Roman"/>
          <w:b/>
          <w:bCs/>
          <w:color w:val="000000"/>
          <w:sz w:val="24"/>
          <w:szCs w:val="24"/>
        </w:rPr>
        <w:t>Administration</w:t>
      </w:r>
    </w:p>
    <w:p w:rsidR="001B7867" w:rsidRPr="001B7867" w:rsidRDefault="001B7867" w:rsidP="001B7867">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6E6492">
        <w:rPr>
          <w:rFonts w:asciiTheme="majorHAnsi" w:eastAsia="Times New Roman" w:hAnsiTheme="majorHAnsi" w:cs="Times New Roman"/>
          <w:color w:val="000000"/>
          <w:sz w:val="24"/>
          <w:szCs w:val="24"/>
        </w:rPr>
        <w:t>Youths read the items themselves (5th grade reading level) and circle the answers</w:t>
      </w:r>
      <w:r w:rsidRPr="001B7867">
        <w:rPr>
          <w:rFonts w:asciiTheme="majorHAnsi" w:eastAsia="Times New Roman" w:hAnsiTheme="majorHAnsi" w:cs="Arial"/>
          <w:sz w:val="24"/>
          <w:szCs w:val="24"/>
        </w:rPr>
        <w:t xml:space="preserve"> </w:t>
      </w:r>
    </w:p>
    <w:p w:rsidR="006E6492" w:rsidRPr="001B7867" w:rsidRDefault="006E6492" w:rsidP="006E6492">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1B7867">
        <w:rPr>
          <w:rFonts w:asciiTheme="majorHAnsi" w:eastAsia="Times New Roman" w:hAnsiTheme="majorHAnsi" w:cs="Times New Roman"/>
          <w:color w:val="000000"/>
          <w:sz w:val="24"/>
          <w:szCs w:val="24"/>
        </w:rPr>
        <w:t xml:space="preserve">Youths circle YES or NO concerning whether each item has been true for them "within the past few months." </w:t>
      </w:r>
    </w:p>
    <w:p w:rsidR="001B7867" w:rsidRDefault="006E6492" w:rsidP="001B7867">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6E6492">
        <w:rPr>
          <w:rFonts w:asciiTheme="majorHAnsi" w:eastAsia="Times New Roman" w:hAnsiTheme="majorHAnsi" w:cs="Times New Roman"/>
          <w:color w:val="000000"/>
          <w:sz w:val="24"/>
          <w:szCs w:val="24"/>
        </w:rPr>
        <w:t>Administration takes about 10 to 15 minutes and scoring r</w:t>
      </w:r>
      <w:r w:rsidRPr="001B7867">
        <w:rPr>
          <w:rFonts w:asciiTheme="majorHAnsi" w:eastAsia="Times New Roman" w:hAnsiTheme="majorHAnsi" w:cs="Times New Roman"/>
          <w:color w:val="000000"/>
          <w:sz w:val="24"/>
          <w:szCs w:val="24"/>
        </w:rPr>
        <w:t>equires approximately 3 minutes</w:t>
      </w:r>
    </w:p>
    <w:p w:rsidR="001B7867" w:rsidRPr="001B7867" w:rsidRDefault="006E6492" w:rsidP="001B7867">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1B7867">
        <w:rPr>
          <w:rFonts w:asciiTheme="majorHAnsi" w:eastAsia="Times New Roman" w:hAnsiTheme="majorHAnsi" w:cs="Times New Roman"/>
          <w:color w:val="000000"/>
          <w:sz w:val="24"/>
          <w:szCs w:val="24"/>
        </w:rPr>
        <w:t xml:space="preserve">The MAYSI-2 is available in both English and Spanish as well as in software form. </w:t>
      </w:r>
    </w:p>
    <w:p w:rsidR="007E6FF1" w:rsidRPr="007E6FF1" w:rsidRDefault="006E6492" w:rsidP="007E6FF1">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1B7867">
        <w:rPr>
          <w:rFonts w:asciiTheme="majorHAnsi" w:eastAsia="Times New Roman" w:hAnsiTheme="majorHAnsi" w:cs="Times New Roman"/>
          <w:color w:val="000000"/>
          <w:sz w:val="24"/>
          <w:szCs w:val="24"/>
        </w:rPr>
        <w:lastRenderedPageBreak/>
        <w:t xml:space="preserve">The MAYSI-2 software, called MAYSIWARE (2006) and MAYSIWARE 4.0 (2011, for Vista/7 versions of Windows), is available for purchase from </w:t>
      </w:r>
      <w:hyperlink r:id="rId7" w:history="1">
        <w:r w:rsidRPr="001B7867">
          <w:rPr>
            <w:rFonts w:asciiTheme="majorHAnsi" w:eastAsia="Times New Roman" w:hAnsiTheme="majorHAnsi" w:cs="Times New Roman"/>
            <w:b/>
            <w:bCs/>
            <w:color w:val="003366"/>
            <w:sz w:val="24"/>
            <w:szCs w:val="24"/>
          </w:rPr>
          <w:t>Professional Resource Press</w:t>
        </w:r>
      </w:hyperlink>
      <w:r w:rsidR="001B7867" w:rsidRPr="001B7867">
        <w:rPr>
          <w:rFonts w:asciiTheme="majorHAnsi" w:eastAsia="Times New Roman" w:hAnsiTheme="majorHAnsi" w:cs="Arial"/>
          <w:sz w:val="24"/>
          <w:szCs w:val="24"/>
        </w:rPr>
        <w:t xml:space="preserve"> </w:t>
      </w:r>
    </w:p>
    <w:p w:rsidR="007E6FF1" w:rsidRPr="007E6FF1" w:rsidRDefault="001B7867" w:rsidP="007E6FF1">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7E6FF1">
        <w:rPr>
          <w:rFonts w:asciiTheme="majorHAnsi" w:eastAsia="Times New Roman" w:hAnsiTheme="majorHAnsi" w:cs="Arial"/>
          <w:sz w:val="24"/>
          <w:szCs w:val="24"/>
        </w:rPr>
        <w:t xml:space="preserve">Can be administered to all youths in probation intake interviews or within the first few hours after admission to detention and corrections facilities. </w:t>
      </w:r>
    </w:p>
    <w:p w:rsidR="007E6FF1" w:rsidRPr="007E6FF1" w:rsidRDefault="001B7867" w:rsidP="007E6FF1">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7E6FF1">
        <w:rPr>
          <w:rFonts w:asciiTheme="majorHAnsi" w:eastAsia="Times New Roman" w:hAnsiTheme="majorHAnsi" w:cs="Arial"/>
          <w:sz w:val="24"/>
          <w:szCs w:val="24"/>
        </w:rPr>
        <w:t xml:space="preserve">Requires no more than 15 minutes to administer, and can be scored in about 3 minutes. </w:t>
      </w:r>
    </w:p>
    <w:p w:rsidR="007E6FF1" w:rsidRPr="007E6FF1" w:rsidRDefault="001B7867" w:rsidP="007E6FF1">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7E6FF1">
        <w:rPr>
          <w:rFonts w:asciiTheme="majorHAnsi" w:eastAsia="Times New Roman" w:hAnsiTheme="majorHAnsi" w:cs="Arial"/>
          <w:sz w:val="24"/>
          <w:szCs w:val="24"/>
        </w:rPr>
        <w:t>Can be administered in paper-and-pencil form or with a software program called MAYSIWARE, and is availab</w:t>
      </w:r>
      <w:r w:rsidR="007E6FF1">
        <w:rPr>
          <w:rFonts w:asciiTheme="majorHAnsi" w:eastAsia="Times New Roman" w:hAnsiTheme="majorHAnsi" w:cs="Arial"/>
          <w:sz w:val="24"/>
          <w:szCs w:val="24"/>
        </w:rPr>
        <w:t>le in both English and Spanish.</w:t>
      </w:r>
    </w:p>
    <w:p w:rsidR="007E6FF1" w:rsidRPr="007E6FF1" w:rsidRDefault="001B7867" w:rsidP="007E6FF1">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7E6FF1">
        <w:rPr>
          <w:rFonts w:asciiTheme="majorHAnsi" w:eastAsia="Times New Roman" w:hAnsiTheme="majorHAnsi" w:cs="Arial"/>
          <w:sz w:val="24"/>
          <w:szCs w:val="24"/>
        </w:rPr>
        <w:t xml:space="preserve">Alerts staff to potential mental/emotional distress and certain behavior problems that might require an immediate response (Alcohol/Drug Use, Angry-Irritable, Depressed-Anxious, Somatic Complaints, Suicide Ideation, Thought Disturbance, </w:t>
      </w:r>
      <w:proofErr w:type="gramStart"/>
      <w:r w:rsidRPr="007E6FF1">
        <w:rPr>
          <w:rFonts w:asciiTheme="majorHAnsi" w:eastAsia="Times New Roman" w:hAnsiTheme="majorHAnsi" w:cs="Arial"/>
          <w:sz w:val="24"/>
          <w:szCs w:val="24"/>
        </w:rPr>
        <w:t>Traumatic</w:t>
      </w:r>
      <w:proofErr w:type="gramEnd"/>
      <w:r w:rsidRPr="007E6FF1">
        <w:rPr>
          <w:rFonts w:asciiTheme="majorHAnsi" w:eastAsia="Times New Roman" w:hAnsiTheme="majorHAnsi" w:cs="Arial"/>
          <w:sz w:val="24"/>
          <w:szCs w:val="24"/>
        </w:rPr>
        <w:t xml:space="preserve"> Experiences). </w:t>
      </w:r>
    </w:p>
    <w:p w:rsidR="001B7867" w:rsidRPr="00327A54" w:rsidRDefault="001B7867" w:rsidP="007E6FF1">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sidRPr="007E6FF1">
        <w:rPr>
          <w:rFonts w:asciiTheme="majorHAnsi" w:eastAsia="Times New Roman" w:hAnsiTheme="majorHAnsi" w:cs="Arial"/>
          <w:sz w:val="24"/>
          <w:szCs w:val="24"/>
        </w:rPr>
        <w:t xml:space="preserve">Does not require a mental health professional for scoring and interpretation. </w:t>
      </w:r>
    </w:p>
    <w:p w:rsidR="00327A54" w:rsidRPr="007E6FF1" w:rsidRDefault="00327A54" w:rsidP="007E6FF1">
      <w:pPr>
        <w:pStyle w:val="ListParagraph"/>
        <w:numPr>
          <w:ilvl w:val="0"/>
          <w:numId w:val="6"/>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Arial"/>
          <w:sz w:val="24"/>
          <w:szCs w:val="24"/>
        </w:rPr>
        <w:t>Protocol for responding to identified needs will need to be developed</w:t>
      </w:r>
    </w:p>
    <w:p w:rsidR="006E6492" w:rsidRDefault="006E6492" w:rsidP="006E6492">
      <w:pPr>
        <w:shd w:val="clear" w:color="auto" w:fill="FFFFFF"/>
        <w:spacing w:before="100" w:beforeAutospacing="1" w:after="360" w:line="240" w:lineRule="auto"/>
        <w:jc w:val="both"/>
        <w:rPr>
          <w:rFonts w:asciiTheme="majorHAnsi" w:eastAsia="Times New Roman" w:hAnsiTheme="majorHAnsi" w:cs="Arial"/>
          <w:b/>
          <w:bCs/>
          <w:sz w:val="24"/>
          <w:szCs w:val="24"/>
        </w:rPr>
      </w:pPr>
      <w:r w:rsidRPr="00521741">
        <w:rPr>
          <w:rFonts w:asciiTheme="majorHAnsi" w:eastAsia="Times New Roman" w:hAnsiTheme="majorHAnsi" w:cs="Arial"/>
          <w:b/>
          <w:bCs/>
          <w:sz w:val="24"/>
          <w:szCs w:val="24"/>
        </w:rPr>
        <w:t>The instrument uses seven scales to assess the youth:</w:t>
      </w:r>
    </w:p>
    <w:p w:rsidR="00C95E22" w:rsidRPr="00C95E22" w:rsidRDefault="006E6492" w:rsidP="006E6492">
      <w:pPr>
        <w:numPr>
          <w:ilvl w:val="0"/>
          <w:numId w:val="2"/>
        </w:numPr>
        <w:shd w:val="clear" w:color="auto" w:fill="FFFFFF"/>
        <w:spacing w:before="120" w:after="120" w:line="240" w:lineRule="auto"/>
        <w:ind w:left="600"/>
        <w:rPr>
          <w:rFonts w:asciiTheme="majorHAnsi" w:eastAsia="Times New Roman" w:hAnsiTheme="majorHAnsi" w:cs="Arial"/>
          <w:sz w:val="24"/>
          <w:szCs w:val="24"/>
        </w:rPr>
      </w:pPr>
      <w:r w:rsidRPr="00521741">
        <w:rPr>
          <w:rFonts w:asciiTheme="majorHAnsi" w:eastAsia="Times New Roman" w:hAnsiTheme="majorHAnsi" w:cs="Arial"/>
          <w:sz w:val="24"/>
          <w:szCs w:val="24"/>
        </w:rPr>
        <w:t>Alcohol &amp; Drug Use</w:t>
      </w:r>
      <w:r w:rsidR="00C95E22" w:rsidRPr="00C95E22">
        <w:rPr>
          <w:rFonts w:ascii="Verdana" w:eastAsia="Times New Roman" w:hAnsi="Verdana" w:cs="Times New Roman"/>
          <w:color w:val="000000"/>
        </w:rPr>
        <w:t xml:space="preserve"> </w:t>
      </w:r>
    </w:p>
    <w:p w:rsidR="006E6492" w:rsidRPr="00521741" w:rsidRDefault="00C95E22" w:rsidP="00C95E22">
      <w:pPr>
        <w:numPr>
          <w:ilvl w:val="1"/>
          <w:numId w:val="2"/>
        </w:numPr>
        <w:shd w:val="clear" w:color="auto" w:fill="FFFFFF"/>
        <w:spacing w:before="120" w:after="120" w:line="240" w:lineRule="auto"/>
        <w:rPr>
          <w:rFonts w:asciiTheme="majorHAnsi" w:eastAsia="Times New Roman" w:hAnsiTheme="majorHAnsi" w:cs="Arial"/>
          <w:sz w:val="24"/>
          <w:szCs w:val="24"/>
        </w:rPr>
      </w:pPr>
      <w:r w:rsidRPr="00C95E22">
        <w:rPr>
          <w:rFonts w:ascii="Verdana" w:eastAsia="Times New Roman" w:hAnsi="Verdana" w:cs="Times New Roman"/>
          <w:color w:val="000000"/>
        </w:rPr>
        <w:t>The AD scale is intended to identify youths who are using alcohol or drugs to a significant degree, and who are therefore at risk of substance dependence and/or abuse. The scale has eight items. Five of the items are concerned with various negative consequences of substance abuse, and the remaining three address characteristics of substance use that are thought to represent factors for abuse.</w:t>
      </w:r>
    </w:p>
    <w:p w:rsidR="006E6492" w:rsidRDefault="006E6492" w:rsidP="006E6492">
      <w:pPr>
        <w:numPr>
          <w:ilvl w:val="0"/>
          <w:numId w:val="2"/>
        </w:numPr>
        <w:shd w:val="clear" w:color="auto" w:fill="FFFFFF"/>
        <w:spacing w:before="120" w:after="120" w:line="240" w:lineRule="auto"/>
        <w:ind w:left="600"/>
        <w:rPr>
          <w:rFonts w:asciiTheme="majorHAnsi" w:eastAsia="Times New Roman" w:hAnsiTheme="majorHAnsi" w:cs="Arial"/>
          <w:sz w:val="24"/>
          <w:szCs w:val="24"/>
        </w:rPr>
      </w:pPr>
      <w:r w:rsidRPr="00521741">
        <w:rPr>
          <w:rFonts w:asciiTheme="majorHAnsi" w:eastAsia="Times New Roman" w:hAnsiTheme="majorHAnsi" w:cs="Arial"/>
          <w:sz w:val="24"/>
          <w:szCs w:val="24"/>
        </w:rPr>
        <w:t>Angry – Irritable</w:t>
      </w:r>
    </w:p>
    <w:p w:rsidR="00C95E22" w:rsidRPr="00C95E22" w:rsidRDefault="00C95E22" w:rsidP="00C95E22">
      <w:pPr>
        <w:pStyle w:val="ListParagraph"/>
        <w:numPr>
          <w:ilvl w:val="1"/>
          <w:numId w:val="2"/>
        </w:numPr>
        <w:shd w:val="clear" w:color="auto" w:fill="FFFFFF"/>
        <w:spacing w:before="120" w:after="120" w:line="240" w:lineRule="auto"/>
        <w:rPr>
          <w:rFonts w:asciiTheme="majorHAnsi" w:eastAsia="Times New Roman" w:hAnsiTheme="majorHAnsi" w:cs="Arial"/>
          <w:sz w:val="24"/>
          <w:szCs w:val="24"/>
        </w:rPr>
      </w:pPr>
      <w:r w:rsidRPr="00C95E22">
        <w:rPr>
          <w:rFonts w:ascii="Verdana" w:eastAsia="Times New Roman" w:hAnsi="Verdana" w:cs="Times New Roman"/>
          <w:color w:val="000000"/>
        </w:rPr>
        <w:t>The AI scale is intended to assess explicit feelings of preoccupying anger and vengefulness, as well as a general tendency toward irritability, frustration, and tension related to anger. The scale has 9 items. Four explicitly concern angry mood and thoughts, three others are concerned with irritability and risk of impulsive reactions, and the last two items pertain to behavioral expression of anger.</w:t>
      </w:r>
    </w:p>
    <w:p w:rsidR="00C95E22" w:rsidRPr="00C95E22" w:rsidRDefault="006E6492" w:rsidP="006E6492">
      <w:pPr>
        <w:numPr>
          <w:ilvl w:val="0"/>
          <w:numId w:val="2"/>
        </w:numPr>
        <w:shd w:val="clear" w:color="auto" w:fill="FFFFFF"/>
        <w:spacing w:before="120" w:after="120" w:line="240" w:lineRule="auto"/>
        <w:ind w:left="600"/>
        <w:rPr>
          <w:rFonts w:asciiTheme="majorHAnsi" w:eastAsia="Times New Roman" w:hAnsiTheme="majorHAnsi" w:cs="Arial"/>
          <w:sz w:val="24"/>
          <w:szCs w:val="24"/>
        </w:rPr>
      </w:pPr>
      <w:r w:rsidRPr="00521741">
        <w:rPr>
          <w:rFonts w:asciiTheme="majorHAnsi" w:eastAsia="Times New Roman" w:hAnsiTheme="majorHAnsi" w:cs="Arial"/>
          <w:sz w:val="24"/>
          <w:szCs w:val="24"/>
        </w:rPr>
        <w:t>Depressed – Anxious</w:t>
      </w:r>
      <w:r w:rsidR="00C95E22" w:rsidRPr="00C95E22">
        <w:rPr>
          <w:rFonts w:ascii="Verdana" w:eastAsia="Times New Roman" w:hAnsi="Verdana" w:cs="Times New Roman"/>
          <w:color w:val="000000"/>
        </w:rPr>
        <w:t xml:space="preserve"> </w:t>
      </w:r>
    </w:p>
    <w:p w:rsidR="006E6492" w:rsidRPr="00521741" w:rsidRDefault="00C95E22" w:rsidP="00C95E22">
      <w:pPr>
        <w:numPr>
          <w:ilvl w:val="1"/>
          <w:numId w:val="2"/>
        </w:numPr>
        <w:shd w:val="clear" w:color="auto" w:fill="FFFFFF"/>
        <w:spacing w:before="120" w:after="120" w:line="240" w:lineRule="auto"/>
        <w:rPr>
          <w:rFonts w:asciiTheme="majorHAnsi" w:eastAsia="Times New Roman" w:hAnsiTheme="majorHAnsi" w:cs="Arial"/>
          <w:sz w:val="24"/>
          <w:szCs w:val="24"/>
        </w:rPr>
      </w:pPr>
      <w:r w:rsidRPr="00C95E22">
        <w:rPr>
          <w:rFonts w:ascii="Verdana" w:eastAsia="Times New Roman" w:hAnsi="Verdana" w:cs="Times New Roman"/>
          <w:color w:val="000000"/>
        </w:rPr>
        <w:t>The DA scale is intended to elicit symptoms of mixed depression and anxiety. The scale has nine items. Five items inquire about manifestations of anxiety and inner turmoil, and four items are concerned with depressed mood.</w:t>
      </w:r>
    </w:p>
    <w:p w:rsidR="00C95E22" w:rsidRPr="00C95E22" w:rsidRDefault="006E6492" w:rsidP="006E6492">
      <w:pPr>
        <w:numPr>
          <w:ilvl w:val="0"/>
          <w:numId w:val="2"/>
        </w:numPr>
        <w:shd w:val="clear" w:color="auto" w:fill="FFFFFF"/>
        <w:spacing w:before="120" w:after="120" w:line="240" w:lineRule="auto"/>
        <w:ind w:left="600"/>
        <w:rPr>
          <w:rFonts w:asciiTheme="majorHAnsi" w:eastAsia="Times New Roman" w:hAnsiTheme="majorHAnsi" w:cs="Arial"/>
          <w:sz w:val="24"/>
          <w:szCs w:val="24"/>
        </w:rPr>
      </w:pPr>
      <w:r w:rsidRPr="00521741">
        <w:rPr>
          <w:rFonts w:asciiTheme="majorHAnsi" w:eastAsia="Times New Roman" w:hAnsiTheme="majorHAnsi" w:cs="Arial"/>
          <w:sz w:val="24"/>
          <w:szCs w:val="24"/>
        </w:rPr>
        <w:t>Somatic Complaints</w:t>
      </w:r>
      <w:r w:rsidR="00C95E22" w:rsidRPr="00C95E22">
        <w:rPr>
          <w:rFonts w:ascii="Verdana" w:eastAsia="Times New Roman" w:hAnsi="Verdana" w:cs="Times New Roman"/>
          <w:color w:val="000000"/>
        </w:rPr>
        <w:t xml:space="preserve"> </w:t>
      </w:r>
    </w:p>
    <w:p w:rsidR="006E6492" w:rsidRPr="00C95E22" w:rsidRDefault="00C95E22" w:rsidP="00C95E22">
      <w:pPr>
        <w:numPr>
          <w:ilvl w:val="1"/>
          <w:numId w:val="2"/>
        </w:numPr>
        <w:shd w:val="clear" w:color="auto" w:fill="FFFFFF"/>
        <w:spacing w:before="120" w:after="120" w:line="240" w:lineRule="auto"/>
        <w:rPr>
          <w:rFonts w:asciiTheme="majorHAnsi" w:eastAsia="Times New Roman" w:hAnsiTheme="majorHAnsi" w:cs="Arial"/>
          <w:sz w:val="24"/>
          <w:szCs w:val="24"/>
        </w:rPr>
      </w:pPr>
      <w:r w:rsidRPr="00C95E22">
        <w:rPr>
          <w:rFonts w:ascii="Verdana" w:eastAsia="Times New Roman" w:hAnsi="Verdana" w:cs="Times New Roman"/>
          <w:color w:val="000000"/>
        </w:rPr>
        <w:t xml:space="preserve">The SC scale includes six items that ask about various bodily aches and pains that may affect the youth, along with specific bodily expressions of anxiety. An elevated score on this scale could occur for a variety of reasons. For example, somatic complaints tend to co-occur with depression and anxiety, and sometimes they can be associated </w:t>
      </w:r>
      <w:r w:rsidRPr="00C95E22">
        <w:rPr>
          <w:rFonts w:ascii="Verdana" w:eastAsia="Times New Roman" w:hAnsi="Verdana" w:cs="Times New Roman"/>
          <w:color w:val="000000"/>
        </w:rPr>
        <w:lastRenderedPageBreak/>
        <w:t>with trauma history and with thought disorder as well. On the other hand, aches, pains, and other somatic complaints may be symptoms of physical illness, and such complaints should not be overlooked as symptoms in their own right.</w:t>
      </w:r>
    </w:p>
    <w:p w:rsidR="007E6FF1" w:rsidRDefault="007E6FF1" w:rsidP="007E6FF1">
      <w:pPr>
        <w:shd w:val="clear" w:color="auto" w:fill="FFFFFF"/>
        <w:spacing w:before="120" w:after="120" w:line="240" w:lineRule="auto"/>
        <w:ind w:left="600"/>
        <w:rPr>
          <w:rFonts w:asciiTheme="majorHAnsi" w:eastAsia="Times New Roman" w:hAnsiTheme="majorHAnsi" w:cs="Arial"/>
          <w:sz w:val="24"/>
          <w:szCs w:val="24"/>
        </w:rPr>
      </w:pPr>
    </w:p>
    <w:p w:rsidR="00C95E22" w:rsidRPr="00C95E22" w:rsidRDefault="006E6492" w:rsidP="006E6492">
      <w:pPr>
        <w:numPr>
          <w:ilvl w:val="0"/>
          <w:numId w:val="2"/>
        </w:numPr>
        <w:shd w:val="clear" w:color="auto" w:fill="FFFFFF"/>
        <w:spacing w:before="120" w:after="120" w:line="240" w:lineRule="auto"/>
        <w:ind w:left="600"/>
        <w:rPr>
          <w:rFonts w:asciiTheme="majorHAnsi" w:eastAsia="Times New Roman" w:hAnsiTheme="majorHAnsi" w:cs="Arial"/>
          <w:sz w:val="24"/>
          <w:szCs w:val="24"/>
        </w:rPr>
      </w:pPr>
      <w:r w:rsidRPr="00521741">
        <w:rPr>
          <w:rFonts w:asciiTheme="majorHAnsi" w:eastAsia="Times New Roman" w:hAnsiTheme="majorHAnsi" w:cs="Arial"/>
          <w:sz w:val="24"/>
          <w:szCs w:val="24"/>
        </w:rPr>
        <w:t>Suicide Ideation</w:t>
      </w:r>
      <w:r w:rsidR="00C95E22" w:rsidRPr="00C95E22">
        <w:rPr>
          <w:rFonts w:ascii="Verdana" w:eastAsia="Times New Roman" w:hAnsi="Verdana" w:cs="Times New Roman"/>
          <w:color w:val="000000"/>
        </w:rPr>
        <w:t xml:space="preserve"> </w:t>
      </w:r>
    </w:p>
    <w:p w:rsidR="006E6492" w:rsidRPr="00327A54" w:rsidRDefault="00C95E22" w:rsidP="00C95E22">
      <w:pPr>
        <w:numPr>
          <w:ilvl w:val="1"/>
          <w:numId w:val="2"/>
        </w:numPr>
        <w:shd w:val="clear" w:color="auto" w:fill="FFFFFF"/>
        <w:spacing w:before="120" w:after="120" w:line="240" w:lineRule="auto"/>
        <w:rPr>
          <w:rFonts w:asciiTheme="majorHAnsi" w:eastAsia="Times New Roman" w:hAnsiTheme="majorHAnsi" w:cs="Arial"/>
          <w:sz w:val="24"/>
          <w:szCs w:val="24"/>
        </w:rPr>
      </w:pPr>
      <w:r w:rsidRPr="00C95E22">
        <w:rPr>
          <w:rFonts w:ascii="Verdana" w:eastAsia="Times New Roman" w:hAnsi="Verdana" w:cs="Times New Roman"/>
          <w:color w:val="000000"/>
        </w:rPr>
        <w:t>The SI scale has five items. Three of them specifically address thoughts and intentions about self-harm and two involve depressive symptoms that may present an increased risk for suicide. One of the items is shared with the DA scale.</w:t>
      </w:r>
    </w:p>
    <w:p w:rsidR="00327A54" w:rsidRPr="00521741" w:rsidRDefault="00327A54" w:rsidP="00327A54">
      <w:pPr>
        <w:shd w:val="clear" w:color="auto" w:fill="FFFFFF"/>
        <w:spacing w:before="120" w:after="120" w:line="240" w:lineRule="auto"/>
        <w:ind w:left="1440"/>
        <w:rPr>
          <w:rFonts w:asciiTheme="majorHAnsi" w:eastAsia="Times New Roman" w:hAnsiTheme="majorHAnsi" w:cs="Arial"/>
          <w:sz w:val="24"/>
          <w:szCs w:val="24"/>
        </w:rPr>
      </w:pPr>
    </w:p>
    <w:p w:rsidR="006E6492" w:rsidRDefault="006E6492" w:rsidP="006E6492">
      <w:pPr>
        <w:numPr>
          <w:ilvl w:val="0"/>
          <w:numId w:val="2"/>
        </w:numPr>
        <w:shd w:val="clear" w:color="auto" w:fill="FFFFFF"/>
        <w:spacing w:before="120" w:after="120" w:line="240" w:lineRule="auto"/>
        <w:ind w:left="600"/>
        <w:rPr>
          <w:rFonts w:asciiTheme="majorHAnsi" w:eastAsia="Times New Roman" w:hAnsiTheme="majorHAnsi" w:cs="Arial"/>
          <w:sz w:val="24"/>
          <w:szCs w:val="24"/>
        </w:rPr>
      </w:pPr>
      <w:r w:rsidRPr="00521741">
        <w:rPr>
          <w:rFonts w:asciiTheme="majorHAnsi" w:eastAsia="Times New Roman" w:hAnsiTheme="majorHAnsi" w:cs="Arial"/>
          <w:sz w:val="24"/>
          <w:szCs w:val="24"/>
        </w:rPr>
        <w:t>Thought Disturbance (Boys Only)</w:t>
      </w:r>
    </w:p>
    <w:p w:rsidR="00C95E22" w:rsidRPr="00521741" w:rsidRDefault="00C95E22" w:rsidP="00C95E22">
      <w:pPr>
        <w:numPr>
          <w:ilvl w:val="1"/>
          <w:numId w:val="2"/>
        </w:numPr>
        <w:shd w:val="clear" w:color="auto" w:fill="FFFFFF"/>
        <w:spacing w:before="120" w:after="120" w:line="240" w:lineRule="auto"/>
        <w:rPr>
          <w:rFonts w:asciiTheme="majorHAnsi" w:eastAsia="Times New Roman" w:hAnsiTheme="majorHAnsi" w:cs="Arial"/>
          <w:sz w:val="24"/>
          <w:szCs w:val="24"/>
        </w:rPr>
      </w:pPr>
      <w:r w:rsidRPr="00C95E22">
        <w:rPr>
          <w:rFonts w:ascii="Verdana" w:eastAsia="Times New Roman" w:hAnsi="Verdana" w:cs="Times New Roman"/>
          <w:color w:val="000000"/>
        </w:rPr>
        <w:t xml:space="preserve">The TD scale is intended to indicate the possibility of serious mental disorder involving problems with reality orientation. The scale has five items, four of which refer explicitly to altered perceptions in reality that are frequently associated with psychotic disorders. The remaining item refers to a condition of </w:t>
      </w:r>
      <w:proofErr w:type="spellStart"/>
      <w:r w:rsidRPr="00C95E22">
        <w:rPr>
          <w:rFonts w:ascii="Verdana" w:eastAsia="Times New Roman" w:hAnsi="Verdana" w:cs="Times New Roman"/>
          <w:color w:val="000000"/>
        </w:rPr>
        <w:t>derealization</w:t>
      </w:r>
      <w:proofErr w:type="spellEnd"/>
      <w:r w:rsidRPr="00C95E22">
        <w:rPr>
          <w:rFonts w:ascii="Verdana" w:eastAsia="Times New Roman" w:hAnsi="Verdana" w:cs="Times New Roman"/>
          <w:color w:val="000000"/>
        </w:rPr>
        <w:t xml:space="preserve"> ("things don't seem real") that is a more general abnormality of perception and consciousness. It is sometimes an early indication of a psychotic state, but it may simply arise in anxiety or dissociative states as well. In the study with which the MAYSI-2 was developed, the various ways that we used to identify which items came together as scales did not identify a "thought disturbance" scale for girls using MAYSI-2 items. Thus the TD scale should not be applied to girls.</w:t>
      </w:r>
    </w:p>
    <w:p w:rsidR="006E6492" w:rsidRDefault="006E6492" w:rsidP="006E6492">
      <w:pPr>
        <w:numPr>
          <w:ilvl w:val="0"/>
          <w:numId w:val="2"/>
        </w:numPr>
        <w:shd w:val="clear" w:color="auto" w:fill="FFFFFF"/>
        <w:spacing w:before="120" w:after="120" w:line="240" w:lineRule="auto"/>
        <w:ind w:left="600"/>
        <w:rPr>
          <w:rFonts w:asciiTheme="majorHAnsi" w:eastAsia="Times New Roman" w:hAnsiTheme="majorHAnsi" w:cs="Arial"/>
          <w:sz w:val="24"/>
          <w:szCs w:val="24"/>
        </w:rPr>
      </w:pPr>
      <w:r w:rsidRPr="00521741">
        <w:rPr>
          <w:rFonts w:asciiTheme="majorHAnsi" w:eastAsia="Times New Roman" w:hAnsiTheme="majorHAnsi" w:cs="Arial"/>
          <w:sz w:val="24"/>
          <w:szCs w:val="24"/>
        </w:rPr>
        <w:t>Traumatic Experiences</w:t>
      </w:r>
    </w:p>
    <w:p w:rsidR="00C95E22" w:rsidRPr="00521741" w:rsidRDefault="00C95E22" w:rsidP="00C95E22">
      <w:pPr>
        <w:numPr>
          <w:ilvl w:val="1"/>
          <w:numId w:val="2"/>
        </w:numPr>
        <w:shd w:val="clear" w:color="auto" w:fill="FFFFFF"/>
        <w:spacing w:before="120" w:after="120" w:line="240" w:lineRule="auto"/>
        <w:rPr>
          <w:rFonts w:asciiTheme="majorHAnsi" w:eastAsia="Times New Roman" w:hAnsiTheme="majorHAnsi" w:cs="Arial"/>
          <w:sz w:val="24"/>
          <w:szCs w:val="24"/>
        </w:rPr>
      </w:pPr>
      <w:r w:rsidRPr="001B7867">
        <w:rPr>
          <w:rFonts w:ascii="Verdana" w:eastAsia="Times New Roman" w:hAnsi="Verdana" w:cs="Times New Roman"/>
          <w:color w:val="000000"/>
        </w:rPr>
        <w:t>The TE scale is intended to identify whether a youth has had greater exposure to traumatic events compared to other youths. Unlike other MAYSI-2 items, the TE items ask for responses regarding events or feelings over the youth's entire lifetime rather than just the "past few months." There are separate TE scales for boys and girls.</w:t>
      </w:r>
    </w:p>
    <w:p w:rsidR="00327A54" w:rsidRDefault="006E6492" w:rsidP="00C95E22">
      <w:pPr>
        <w:shd w:val="clear" w:color="auto" w:fill="FFFFFF"/>
        <w:spacing w:after="100" w:afterAutospacing="1" w:line="240" w:lineRule="auto"/>
        <w:rPr>
          <w:rFonts w:asciiTheme="majorHAnsi" w:eastAsia="Times New Roman" w:hAnsiTheme="majorHAnsi" w:cs="Arial"/>
          <w:sz w:val="24"/>
          <w:szCs w:val="24"/>
        </w:rPr>
      </w:pPr>
      <w:r w:rsidRPr="00521741">
        <w:rPr>
          <w:rFonts w:asciiTheme="majorHAnsi" w:eastAsia="Times New Roman" w:hAnsiTheme="majorHAnsi" w:cs="Arial"/>
          <w:sz w:val="24"/>
          <w:szCs w:val="24"/>
        </w:rPr>
        <w:t> </w:t>
      </w:r>
    </w:p>
    <w:p w:rsidR="00327A54" w:rsidRDefault="00327A54" w:rsidP="00327A54">
      <w:pPr>
        <w:shd w:val="clear" w:color="auto" w:fill="FFFFFF"/>
        <w:spacing w:after="100" w:afterAutospacing="1" w:line="240" w:lineRule="auto"/>
        <w:rPr>
          <w:rFonts w:asciiTheme="majorHAnsi" w:eastAsia="Times New Roman" w:hAnsiTheme="majorHAnsi" w:cs="Arial"/>
          <w:sz w:val="24"/>
          <w:szCs w:val="24"/>
        </w:rPr>
      </w:pPr>
      <w:r>
        <w:rPr>
          <w:rFonts w:asciiTheme="majorHAnsi" w:eastAsia="Times New Roman" w:hAnsiTheme="majorHAnsi" w:cs="Arial"/>
          <w:noProof/>
          <w:sz w:val="24"/>
          <w:szCs w:val="24"/>
        </w:rPr>
        <w:drawing>
          <wp:anchor distT="0" distB="0" distL="114300" distR="114300" simplePos="0" relativeHeight="251659264" behindDoc="1" locked="0" layoutInCell="1" allowOverlap="1" wp14:anchorId="1F713B3A" wp14:editId="55F9E394">
            <wp:simplePos x="0" y="0"/>
            <wp:positionH relativeFrom="column">
              <wp:posOffset>3256280</wp:posOffset>
            </wp:positionH>
            <wp:positionV relativeFrom="paragraph">
              <wp:posOffset>57150</wp:posOffset>
            </wp:positionV>
            <wp:extent cx="1941195" cy="1525270"/>
            <wp:effectExtent l="57150" t="95250" r="0" b="36830"/>
            <wp:wrapThrough wrapText="bothSides">
              <wp:wrapPolygon edited="0">
                <wp:start x="4477" y="614"/>
                <wp:lineTo x="-1049" y="3423"/>
                <wp:lineTo x="-19" y="7535"/>
                <wp:lineTo x="-1432" y="8109"/>
                <wp:lineTo x="224" y="16498"/>
                <wp:lineTo x="3338" y="20048"/>
                <wp:lineTo x="9353" y="21854"/>
                <wp:lineTo x="11226" y="22227"/>
                <wp:lineTo x="14862" y="20752"/>
                <wp:lineTo x="16220" y="19068"/>
                <wp:lineTo x="19091" y="13656"/>
                <wp:lineTo x="19229" y="13317"/>
                <wp:lineTo x="21090" y="8314"/>
                <wp:lineTo x="21026" y="8057"/>
                <wp:lineTo x="18582" y="4518"/>
                <wp:lineTo x="15193" y="1646"/>
                <wp:lineTo x="14420" y="-1438"/>
                <wp:lineTo x="12078" y="-1904"/>
                <wp:lineTo x="7506" y="-615"/>
                <wp:lineTo x="4477" y="614"/>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SIWARE.png"/>
                    <pic:cNvPicPr/>
                  </pic:nvPicPr>
                  <pic:blipFill>
                    <a:blip r:embed="rId8" cstate="print">
                      <a:extLst>
                        <a:ext uri="{28A0092B-C50C-407E-A947-70E740481C1C}">
                          <a14:useLocalDpi xmlns:a14="http://schemas.microsoft.com/office/drawing/2010/main" val="0"/>
                        </a:ext>
                      </a:extLst>
                    </a:blip>
                    <a:stretch>
                      <a:fillRect/>
                    </a:stretch>
                  </pic:blipFill>
                  <pic:spPr>
                    <a:xfrm rot="1061031">
                      <a:off x="0" y="0"/>
                      <a:ext cx="1941195" cy="152527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Arial"/>
          <w:noProof/>
          <w:sz w:val="24"/>
          <w:szCs w:val="24"/>
        </w:rPr>
        <w:drawing>
          <wp:anchor distT="0" distB="0" distL="114300" distR="114300" simplePos="0" relativeHeight="251658240" behindDoc="1" locked="0" layoutInCell="1" allowOverlap="1" wp14:anchorId="47515B7E" wp14:editId="172FCA51">
            <wp:simplePos x="0" y="0"/>
            <wp:positionH relativeFrom="column">
              <wp:posOffset>810895</wp:posOffset>
            </wp:positionH>
            <wp:positionV relativeFrom="paragraph">
              <wp:posOffset>233045</wp:posOffset>
            </wp:positionV>
            <wp:extent cx="1449070" cy="1947545"/>
            <wp:effectExtent l="209550" t="133350" r="208280" b="147955"/>
            <wp:wrapThrough wrapText="bothSides">
              <wp:wrapPolygon edited="0">
                <wp:start x="20148" y="-246"/>
                <wp:lineTo x="732" y="-3412"/>
                <wp:lineTo x="-1213" y="3192"/>
                <wp:lineTo x="-1631" y="6585"/>
                <wp:lineTo x="-522" y="6766"/>
                <wp:lineTo x="-1635" y="13506"/>
                <wp:lineTo x="-525" y="13687"/>
                <wp:lineTo x="-1456" y="19808"/>
                <wp:lineTo x="-528" y="20608"/>
                <wp:lineTo x="-494" y="21478"/>
                <wp:lineTo x="615" y="21659"/>
                <wp:lineTo x="893" y="21704"/>
                <wp:lineTo x="6129" y="21693"/>
                <wp:lineTo x="21802" y="20788"/>
                <wp:lineTo x="22083" y="13912"/>
                <wp:lineTo x="21946" y="10429"/>
                <wp:lineTo x="22087" y="6991"/>
                <wp:lineTo x="21950" y="3508"/>
                <wp:lineTo x="22090" y="70"/>
                <wp:lineTo x="20148" y="-246"/>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sI2%20Manual.jpg"/>
                    <pic:cNvPicPr/>
                  </pic:nvPicPr>
                  <pic:blipFill>
                    <a:blip r:embed="rId9">
                      <a:extLst>
                        <a:ext uri="{28A0092B-C50C-407E-A947-70E740481C1C}">
                          <a14:useLocalDpi xmlns:a14="http://schemas.microsoft.com/office/drawing/2010/main" val="0"/>
                        </a:ext>
                      </a:extLst>
                    </a:blip>
                    <a:stretch>
                      <a:fillRect/>
                    </a:stretch>
                  </pic:blipFill>
                  <pic:spPr>
                    <a:xfrm rot="20858393">
                      <a:off x="0" y="0"/>
                      <a:ext cx="1449070" cy="1947545"/>
                    </a:xfrm>
                    <a:prstGeom prst="rect">
                      <a:avLst/>
                    </a:prstGeom>
                  </pic:spPr>
                </pic:pic>
              </a:graphicData>
            </a:graphic>
            <wp14:sizeRelH relativeFrom="page">
              <wp14:pctWidth>0</wp14:pctWidth>
            </wp14:sizeRelH>
            <wp14:sizeRelV relativeFrom="page">
              <wp14:pctHeight>0</wp14:pctHeight>
            </wp14:sizeRelV>
          </wp:anchor>
        </w:drawing>
      </w:r>
    </w:p>
    <w:p w:rsidR="00327A54" w:rsidRDefault="00327A54" w:rsidP="00C95E22">
      <w:pPr>
        <w:shd w:val="clear" w:color="auto" w:fill="FFFFFF"/>
        <w:spacing w:after="100" w:afterAutospacing="1" w:line="240" w:lineRule="auto"/>
        <w:rPr>
          <w:rFonts w:asciiTheme="majorHAnsi" w:eastAsia="Times New Roman" w:hAnsiTheme="majorHAnsi" w:cs="Arial"/>
          <w:sz w:val="24"/>
          <w:szCs w:val="24"/>
        </w:rPr>
      </w:pPr>
      <w:r>
        <w:rPr>
          <w:rFonts w:asciiTheme="majorHAnsi" w:eastAsia="Times New Roman" w:hAnsiTheme="majorHAnsi" w:cs="Arial"/>
          <w:sz w:val="24"/>
          <w:szCs w:val="24"/>
        </w:rPr>
        <w:t xml:space="preserve">                                                      </w:t>
      </w:r>
    </w:p>
    <w:p w:rsidR="00327A54" w:rsidRDefault="00327A54" w:rsidP="00C95E22">
      <w:pPr>
        <w:shd w:val="clear" w:color="auto" w:fill="FFFFFF"/>
        <w:spacing w:after="100" w:afterAutospacing="1" w:line="240" w:lineRule="auto"/>
        <w:rPr>
          <w:rFonts w:asciiTheme="majorHAnsi" w:eastAsia="Times New Roman" w:hAnsiTheme="majorHAnsi" w:cs="Arial"/>
          <w:sz w:val="24"/>
          <w:szCs w:val="24"/>
        </w:rPr>
      </w:pPr>
    </w:p>
    <w:p w:rsidR="00327A54" w:rsidRDefault="00327A54" w:rsidP="00327A54">
      <w:pPr>
        <w:shd w:val="clear" w:color="auto" w:fill="FFFFFF"/>
        <w:spacing w:after="100" w:afterAutospacing="1" w:line="240" w:lineRule="auto"/>
        <w:ind w:left="5040"/>
        <w:rPr>
          <w:rFonts w:asciiTheme="majorHAnsi" w:eastAsia="Times New Roman" w:hAnsiTheme="majorHAnsi" w:cs="Arial"/>
          <w:sz w:val="24"/>
          <w:szCs w:val="24"/>
        </w:rPr>
      </w:pPr>
    </w:p>
    <w:p w:rsidR="00327A54" w:rsidRDefault="00327A54" w:rsidP="00C95E22">
      <w:pPr>
        <w:shd w:val="clear" w:color="auto" w:fill="FFFFFF"/>
        <w:spacing w:after="100" w:afterAutospacing="1" w:line="240" w:lineRule="auto"/>
        <w:rPr>
          <w:rFonts w:asciiTheme="majorHAnsi" w:eastAsia="Times New Roman" w:hAnsiTheme="majorHAnsi" w:cs="Arial"/>
          <w:sz w:val="24"/>
          <w:szCs w:val="24"/>
        </w:rPr>
      </w:pPr>
    </w:p>
    <w:p w:rsidR="00C95E22" w:rsidRDefault="00C95E22" w:rsidP="00C95E22">
      <w:p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lastRenderedPageBreak/>
        <w:t>Benefits</w:t>
      </w:r>
    </w:p>
    <w:p w:rsidR="00C95E22" w:rsidRDefault="00C95E22" w:rsidP="00C95E22">
      <w:pPr>
        <w:pStyle w:val="ListParagraph"/>
        <w:numPr>
          <w:ilvl w:val="0"/>
          <w:numId w:val="7"/>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Evidence based</w:t>
      </w:r>
      <w:r w:rsidR="00072AF8">
        <w:rPr>
          <w:rFonts w:asciiTheme="majorHAnsi" w:eastAsia="Times New Roman" w:hAnsiTheme="majorHAnsi" w:cs="Times New Roman"/>
          <w:b/>
          <w:bCs/>
          <w:color w:val="000000"/>
          <w:sz w:val="24"/>
          <w:szCs w:val="24"/>
        </w:rPr>
        <w:t xml:space="preserve"> – valid and reliable</w:t>
      </w:r>
    </w:p>
    <w:p w:rsidR="00072AF8" w:rsidRDefault="00072AF8" w:rsidP="00C95E22">
      <w:pPr>
        <w:pStyle w:val="ListParagraph"/>
        <w:numPr>
          <w:ilvl w:val="0"/>
          <w:numId w:val="7"/>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Uniform/standardized screening protocol</w:t>
      </w:r>
    </w:p>
    <w:p w:rsidR="00C95E22" w:rsidRDefault="00C95E22" w:rsidP="00C95E22">
      <w:pPr>
        <w:pStyle w:val="ListParagraph"/>
        <w:numPr>
          <w:ilvl w:val="0"/>
          <w:numId w:val="7"/>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Objective</w:t>
      </w:r>
      <w:r w:rsidR="00072AF8">
        <w:rPr>
          <w:rFonts w:asciiTheme="majorHAnsi" w:eastAsia="Times New Roman" w:hAnsiTheme="majorHAnsi" w:cs="Times New Roman"/>
          <w:b/>
          <w:bCs/>
          <w:color w:val="000000"/>
          <w:sz w:val="24"/>
          <w:szCs w:val="24"/>
        </w:rPr>
        <w:t xml:space="preserve"> measure </w:t>
      </w:r>
    </w:p>
    <w:p w:rsidR="00072AF8" w:rsidRDefault="00072AF8" w:rsidP="00072AF8">
      <w:pPr>
        <w:pStyle w:val="ListParagraph"/>
        <w:numPr>
          <w:ilvl w:val="0"/>
          <w:numId w:val="7"/>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Informs regarding needs of Youth</w:t>
      </w:r>
      <w:r w:rsidRPr="00072AF8">
        <w:rPr>
          <w:rFonts w:asciiTheme="majorHAnsi" w:eastAsia="Times New Roman" w:hAnsiTheme="majorHAnsi" w:cs="Times New Roman"/>
          <w:b/>
          <w:bCs/>
          <w:color w:val="000000"/>
          <w:sz w:val="24"/>
          <w:szCs w:val="24"/>
        </w:rPr>
        <w:t xml:space="preserve"> </w:t>
      </w:r>
    </w:p>
    <w:p w:rsidR="00072AF8" w:rsidRDefault="00072AF8" w:rsidP="00072AF8">
      <w:pPr>
        <w:pStyle w:val="ListParagraph"/>
        <w:numPr>
          <w:ilvl w:val="0"/>
          <w:numId w:val="7"/>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Individualizes programming</w:t>
      </w:r>
    </w:p>
    <w:p w:rsidR="00072AF8" w:rsidRDefault="00072AF8" w:rsidP="00C95E22">
      <w:pPr>
        <w:pStyle w:val="ListParagraph"/>
        <w:numPr>
          <w:ilvl w:val="0"/>
          <w:numId w:val="7"/>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Preventative – moves away from crisis model</w:t>
      </w:r>
    </w:p>
    <w:p w:rsidR="00072AF8" w:rsidRDefault="00072AF8" w:rsidP="00C95E22">
      <w:pPr>
        <w:pStyle w:val="ListParagraph"/>
        <w:numPr>
          <w:ilvl w:val="0"/>
          <w:numId w:val="7"/>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Documentatio</w:t>
      </w:r>
      <w:bookmarkStart w:id="0" w:name="_GoBack"/>
      <w:bookmarkEnd w:id="0"/>
      <w:r>
        <w:rPr>
          <w:rFonts w:asciiTheme="majorHAnsi" w:eastAsia="Times New Roman" w:hAnsiTheme="majorHAnsi" w:cs="Times New Roman"/>
          <w:b/>
          <w:bCs/>
          <w:color w:val="000000"/>
          <w:sz w:val="24"/>
          <w:szCs w:val="24"/>
        </w:rPr>
        <w:t>n of needs and response to needs</w:t>
      </w:r>
    </w:p>
    <w:p w:rsidR="00072AF8" w:rsidRDefault="00072AF8" w:rsidP="00C95E22">
      <w:pPr>
        <w:pStyle w:val="ListParagraph"/>
        <w:numPr>
          <w:ilvl w:val="0"/>
          <w:numId w:val="7"/>
        </w:numPr>
        <w:shd w:val="clear" w:color="auto" w:fill="FFFFFF"/>
        <w:spacing w:after="100" w:afterAutospacing="1" w:line="240" w:lineRule="auto"/>
        <w:rPr>
          <w:rFonts w:asciiTheme="majorHAnsi" w:eastAsia="Times New Roman" w:hAnsiTheme="majorHAnsi" w:cs="Times New Roman"/>
          <w:b/>
          <w:bCs/>
          <w:color w:val="000000"/>
          <w:sz w:val="24"/>
          <w:szCs w:val="24"/>
        </w:rPr>
      </w:pPr>
      <w:r>
        <w:rPr>
          <w:rFonts w:asciiTheme="majorHAnsi" w:eastAsia="Times New Roman" w:hAnsiTheme="majorHAnsi" w:cs="Times New Roman"/>
          <w:b/>
          <w:bCs/>
          <w:color w:val="000000"/>
          <w:sz w:val="24"/>
          <w:szCs w:val="24"/>
        </w:rPr>
        <w:t>Most effective use of resources – time and space</w:t>
      </w:r>
    </w:p>
    <w:p w:rsidR="00072AF8" w:rsidRDefault="00072AF8" w:rsidP="00832659">
      <w:pPr>
        <w:pStyle w:val="ListParagraph"/>
        <w:shd w:val="clear" w:color="auto" w:fill="FFFFFF"/>
        <w:spacing w:after="100" w:afterAutospacing="1" w:line="240" w:lineRule="auto"/>
        <w:rPr>
          <w:rFonts w:asciiTheme="majorHAnsi" w:eastAsia="Times New Roman" w:hAnsiTheme="majorHAnsi" w:cs="Times New Roman"/>
          <w:b/>
          <w:bCs/>
          <w:color w:val="000000"/>
          <w:sz w:val="24"/>
          <w:szCs w:val="24"/>
        </w:rPr>
      </w:pPr>
      <w:permStart w:id="32771909" w:edGrp="everyone"/>
      <w:permEnd w:id="32771909"/>
    </w:p>
    <w:p w:rsidR="00072AF8" w:rsidRPr="00072AF8" w:rsidRDefault="00072AF8" w:rsidP="00072AF8">
      <w:pPr>
        <w:pStyle w:val="ListParagraph"/>
        <w:shd w:val="clear" w:color="auto" w:fill="FFFFFF"/>
        <w:spacing w:after="100" w:afterAutospacing="1" w:line="240" w:lineRule="auto"/>
        <w:rPr>
          <w:rFonts w:asciiTheme="majorHAnsi" w:eastAsia="Times New Roman" w:hAnsiTheme="majorHAnsi" w:cs="Times New Roman"/>
          <w:b/>
          <w:bCs/>
          <w:color w:val="000000"/>
          <w:sz w:val="24"/>
          <w:szCs w:val="24"/>
        </w:rPr>
      </w:pPr>
    </w:p>
    <w:p w:rsidR="006E6492" w:rsidRPr="00521741" w:rsidRDefault="006E6492" w:rsidP="006E6492">
      <w:pPr>
        <w:shd w:val="clear" w:color="auto" w:fill="FFFFFF"/>
        <w:spacing w:before="100" w:beforeAutospacing="1" w:after="360" w:line="240" w:lineRule="auto"/>
        <w:rPr>
          <w:rFonts w:asciiTheme="majorHAnsi" w:eastAsia="Times New Roman" w:hAnsiTheme="majorHAnsi" w:cs="Arial"/>
          <w:sz w:val="24"/>
          <w:szCs w:val="24"/>
        </w:rPr>
      </w:pPr>
    </w:p>
    <w:p w:rsidR="006E6492" w:rsidRPr="001B7867" w:rsidRDefault="006E6492" w:rsidP="006E6492">
      <w:pPr>
        <w:shd w:val="clear" w:color="auto" w:fill="FFFFFF"/>
        <w:spacing w:before="100" w:beforeAutospacing="1" w:after="360" w:line="240" w:lineRule="auto"/>
        <w:jc w:val="right"/>
        <w:rPr>
          <w:rFonts w:asciiTheme="majorHAnsi" w:eastAsia="Times New Roman" w:hAnsiTheme="majorHAnsi" w:cs="Arial"/>
          <w:b/>
          <w:bCs/>
          <w:i/>
          <w:iCs/>
          <w:sz w:val="24"/>
          <w:szCs w:val="24"/>
        </w:rPr>
      </w:pPr>
      <w:r w:rsidRPr="00521741">
        <w:rPr>
          <w:rFonts w:asciiTheme="majorHAnsi" w:eastAsia="Times New Roman" w:hAnsiTheme="majorHAnsi" w:cs="Arial"/>
          <w:b/>
          <w:bCs/>
          <w:i/>
          <w:iCs/>
          <w:sz w:val="24"/>
          <w:szCs w:val="24"/>
        </w:rPr>
        <w:t>Visit </w:t>
      </w:r>
      <w:hyperlink r:id="rId10" w:history="1">
        <w:r w:rsidRPr="00521741">
          <w:rPr>
            <w:rFonts w:asciiTheme="majorHAnsi" w:eastAsia="Times New Roman" w:hAnsiTheme="majorHAnsi" w:cs="Arial"/>
            <w:b/>
            <w:bCs/>
            <w:i/>
            <w:iCs/>
            <w:color w:val="3B6E8F"/>
            <w:sz w:val="24"/>
            <w:szCs w:val="24"/>
          </w:rPr>
          <w:t>The National Youth Screening and Assessment Project's</w:t>
        </w:r>
      </w:hyperlink>
      <w:r w:rsidRPr="00521741">
        <w:rPr>
          <w:rFonts w:asciiTheme="majorHAnsi" w:eastAsia="Times New Roman" w:hAnsiTheme="majorHAnsi" w:cs="Arial"/>
          <w:b/>
          <w:bCs/>
          <w:i/>
          <w:iCs/>
          <w:sz w:val="24"/>
          <w:szCs w:val="24"/>
        </w:rPr>
        <w:t xml:space="preserve"> website to find out more about the tool, research costs, and to learn about training opportunities.  </w:t>
      </w:r>
    </w:p>
    <w:p w:rsidR="001B7867" w:rsidRDefault="001B7867" w:rsidP="001B7867">
      <w:pPr>
        <w:spacing w:after="0" w:line="240" w:lineRule="auto"/>
        <w:rPr>
          <w:rFonts w:ascii="Arial" w:eastAsia="Times New Roman" w:hAnsi="Arial" w:cs="Arial"/>
          <w:b/>
          <w:bCs/>
          <w:i/>
          <w:iCs/>
          <w:color w:val="A60012"/>
          <w:sz w:val="20"/>
          <w:szCs w:val="20"/>
        </w:rPr>
      </w:pPr>
    </w:p>
    <w:p w:rsidR="001B7867" w:rsidRDefault="001B7867" w:rsidP="001B7867">
      <w:pPr>
        <w:spacing w:after="0" w:line="240" w:lineRule="auto"/>
        <w:rPr>
          <w:rFonts w:ascii="Arial" w:eastAsia="Times New Roman" w:hAnsi="Arial" w:cs="Arial"/>
          <w:b/>
          <w:bCs/>
          <w:i/>
          <w:iCs/>
          <w:color w:val="A60012"/>
          <w:sz w:val="20"/>
          <w:szCs w:val="20"/>
        </w:rPr>
      </w:pPr>
    </w:p>
    <w:p w:rsidR="001B7867" w:rsidRDefault="001B7867" w:rsidP="001B7867">
      <w:pPr>
        <w:spacing w:after="0" w:line="240" w:lineRule="auto"/>
        <w:rPr>
          <w:rFonts w:ascii="Arial" w:eastAsia="Times New Roman" w:hAnsi="Arial" w:cs="Arial"/>
          <w:b/>
          <w:bCs/>
          <w:i/>
          <w:iCs/>
          <w:color w:val="A60012"/>
          <w:sz w:val="20"/>
          <w:szCs w:val="20"/>
        </w:rPr>
      </w:pPr>
    </w:p>
    <w:p w:rsidR="001B7867" w:rsidRPr="00C95E22" w:rsidRDefault="001B7867" w:rsidP="001B7867">
      <w:pPr>
        <w:spacing w:after="0" w:line="240" w:lineRule="auto"/>
        <w:rPr>
          <w:rFonts w:asciiTheme="majorHAnsi" w:eastAsia="Times New Roman" w:hAnsiTheme="majorHAnsi" w:cs="Arial"/>
          <w:b/>
          <w:bCs/>
          <w:i/>
          <w:iCs/>
          <w:color w:val="A60012"/>
          <w:sz w:val="20"/>
          <w:szCs w:val="20"/>
        </w:rPr>
      </w:pPr>
    </w:p>
    <w:p w:rsidR="001B7867" w:rsidRPr="00C95E22" w:rsidRDefault="00B766A1" w:rsidP="001B7867">
      <w:pPr>
        <w:spacing w:after="0" w:line="240" w:lineRule="auto"/>
        <w:rPr>
          <w:rFonts w:asciiTheme="majorHAnsi" w:eastAsia="Times New Roman" w:hAnsiTheme="majorHAnsi" w:cs="Arial"/>
          <w:b/>
          <w:bCs/>
          <w:iCs/>
          <w:color w:val="A60012"/>
          <w:sz w:val="24"/>
          <w:szCs w:val="24"/>
        </w:rPr>
      </w:pPr>
      <w:hyperlink r:id="rId11" w:history="1">
        <w:r w:rsidR="001B7867" w:rsidRPr="00C95E22">
          <w:rPr>
            <w:rStyle w:val="Hyperlink"/>
            <w:rFonts w:asciiTheme="majorHAnsi" w:eastAsia="Times New Roman" w:hAnsiTheme="majorHAnsi" w:cs="Arial"/>
            <w:b/>
            <w:bCs/>
            <w:iCs/>
            <w:sz w:val="24"/>
            <w:szCs w:val="24"/>
          </w:rPr>
          <w:t>http://www.nysap.us/MAYSI2.html</w:t>
        </w:r>
      </w:hyperlink>
    </w:p>
    <w:p w:rsidR="001B7867" w:rsidRPr="00C95E22" w:rsidRDefault="001B7867" w:rsidP="001B7867">
      <w:pPr>
        <w:spacing w:after="0" w:line="240" w:lineRule="auto"/>
        <w:rPr>
          <w:rFonts w:asciiTheme="majorHAnsi" w:eastAsia="Times New Roman" w:hAnsiTheme="majorHAnsi" w:cs="Times New Roman"/>
          <w:b/>
          <w:bCs/>
          <w:color w:val="000000"/>
          <w:sz w:val="24"/>
          <w:szCs w:val="24"/>
        </w:rPr>
      </w:pPr>
    </w:p>
    <w:p w:rsidR="001B7867" w:rsidRPr="00C95E22" w:rsidRDefault="00B766A1" w:rsidP="001B7867">
      <w:pPr>
        <w:spacing w:after="0" w:line="240" w:lineRule="auto"/>
        <w:rPr>
          <w:rFonts w:asciiTheme="majorHAnsi" w:eastAsia="Times New Roman" w:hAnsiTheme="majorHAnsi" w:cs="Arial"/>
          <w:b/>
          <w:bCs/>
          <w:color w:val="A60012"/>
          <w:sz w:val="24"/>
          <w:szCs w:val="24"/>
        </w:rPr>
      </w:pPr>
      <w:hyperlink r:id="rId12" w:history="1">
        <w:r w:rsidR="001B7867" w:rsidRPr="00C95E22">
          <w:rPr>
            <w:rStyle w:val="Hyperlink"/>
            <w:rFonts w:asciiTheme="majorHAnsi" w:eastAsia="Times New Roman" w:hAnsiTheme="majorHAnsi" w:cs="Arial"/>
            <w:b/>
            <w:bCs/>
            <w:sz w:val="24"/>
            <w:szCs w:val="24"/>
          </w:rPr>
          <w:t>http://www.prpress.com/MAYSI-2-2006-Massachusetts-Youth-Screening-Instrument-Users-Manual-Technical-Report-_p_170.html</w:t>
        </w:r>
      </w:hyperlink>
    </w:p>
    <w:p w:rsidR="006E6492" w:rsidRPr="00C95E22" w:rsidRDefault="00B766A1" w:rsidP="006E6492">
      <w:pPr>
        <w:spacing w:before="100" w:beforeAutospacing="1" w:after="100" w:afterAutospacing="1" w:line="240" w:lineRule="auto"/>
        <w:rPr>
          <w:rFonts w:asciiTheme="majorHAnsi" w:eastAsia="Times New Roman" w:hAnsiTheme="majorHAnsi" w:cs="Arial"/>
          <w:b/>
          <w:sz w:val="24"/>
          <w:szCs w:val="24"/>
        </w:rPr>
      </w:pPr>
      <w:hyperlink r:id="rId13" w:history="1">
        <w:r w:rsidR="001B7867" w:rsidRPr="00C95E22">
          <w:rPr>
            <w:rStyle w:val="Hyperlink"/>
            <w:rFonts w:asciiTheme="majorHAnsi" w:eastAsia="Times New Roman" w:hAnsiTheme="majorHAnsi" w:cs="Arial"/>
            <w:b/>
            <w:sz w:val="24"/>
            <w:szCs w:val="24"/>
          </w:rPr>
          <w:t>http://www.ncjfcj.org/massachusetts-youth-screening-instrument-maysimaysi-2</w:t>
        </w:r>
      </w:hyperlink>
    </w:p>
    <w:p w:rsidR="001B7867" w:rsidRPr="006E6492" w:rsidRDefault="001B7867" w:rsidP="006E6492">
      <w:pPr>
        <w:spacing w:before="100" w:beforeAutospacing="1" w:after="100" w:afterAutospacing="1" w:line="240" w:lineRule="auto"/>
        <w:rPr>
          <w:rFonts w:asciiTheme="majorHAnsi" w:eastAsia="Times New Roman" w:hAnsiTheme="majorHAnsi" w:cs="Arial"/>
          <w:b/>
          <w:sz w:val="24"/>
          <w:szCs w:val="24"/>
        </w:rPr>
      </w:pPr>
    </w:p>
    <w:p w:rsidR="001A1A13" w:rsidRDefault="001A1A13"/>
    <w:sectPr w:rsidR="001A1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93629"/>
    <w:multiLevelType w:val="hybridMultilevel"/>
    <w:tmpl w:val="050E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C73913"/>
    <w:multiLevelType w:val="multilevel"/>
    <w:tmpl w:val="A048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B613A9"/>
    <w:multiLevelType w:val="multilevel"/>
    <w:tmpl w:val="CDC49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CA2625"/>
    <w:multiLevelType w:val="multilevel"/>
    <w:tmpl w:val="CDC49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76DEB"/>
    <w:multiLevelType w:val="multilevel"/>
    <w:tmpl w:val="5B1A4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4F2947"/>
    <w:multiLevelType w:val="hybridMultilevel"/>
    <w:tmpl w:val="8D069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7B3DD5"/>
    <w:multiLevelType w:val="multilevel"/>
    <w:tmpl w:val="CDC49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4"/>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UVn7glOdUZopiFsxlOQkzbif1OU=" w:salt="wrbO1cPeX5JM2YTHTaSEW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492"/>
    <w:rsid w:val="00072AF8"/>
    <w:rsid w:val="001A1A13"/>
    <w:rsid w:val="001B7867"/>
    <w:rsid w:val="00327A54"/>
    <w:rsid w:val="0052196E"/>
    <w:rsid w:val="006E6492"/>
    <w:rsid w:val="007E6FF1"/>
    <w:rsid w:val="00832659"/>
    <w:rsid w:val="008D714D"/>
    <w:rsid w:val="00B766A1"/>
    <w:rsid w:val="00C95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492"/>
    <w:rPr>
      <w:color w:val="0000FF" w:themeColor="hyperlink"/>
      <w:u w:val="single"/>
    </w:rPr>
  </w:style>
  <w:style w:type="paragraph" w:styleId="ListParagraph">
    <w:name w:val="List Paragraph"/>
    <w:basedOn w:val="Normal"/>
    <w:uiPriority w:val="34"/>
    <w:qFormat/>
    <w:rsid w:val="006E6492"/>
    <w:pPr>
      <w:ind w:left="720"/>
      <w:contextualSpacing/>
    </w:pPr>
  </w:style>
  <w:style w:type="paragraph" w:styleId="BalloonText">
    <w:name w:val="Balloon Text"/>
    <w:basedOn w:val="Normal"/>
    <w:link w:val="BalloonTextChar"/>
    <w:uiPriority w:val="99"/>
    <w:semiHidden/>
    <w:unhideWhenUsed/>
    <w:rsid w:val="00327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492"/>
    <w:rPr>
      <w:color w:val="0000FF" w:themeColor="hyperlink"/>
      <w:u w:val="single"/>
    </w:rPr>
  </w:style>
  <w:style w:type="paragraph" w:styleId="ListParagraph">
    <w:name w:val="List Paragraph"/>
    <w:basedOn w:val="Normal"/>
    <w:uiPriority w:val="34"/>
    <w:qFormat/>
    <w:rsid w:val="006E6492"/>
    <w:pPr>
      <w:ind w:left="720"/>
      <w:contextualSpacing/>
    </w:pPr>
  </w:style>
  <w:style w:type="paragraph" w:styleId="BalloonText">
    <w:name w:val="Balloon Text"/>
    <w:basedOn w:val="Normal"/>
    <w:link w:val="BalloonTextChar"/>
    <w:uiPriority w:val="99"/>
    <w:semiHidden/>
    <w:unhideWhenUsed/>
    <w:rsid w:val="00327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20696">
      <w:bodyDiv w:val="1"/>
      <w:marLeft w:val="0"/>
      <w:marRight w:val="0"/>
      <w:marTop w:val="0"/>
      <w:marBottom w:val="0"/>
      <w:divBdr>
        <w:top w:val="none" w:sz="0" w:space="0" w:color="auto"/>
        <w:left w:val="none" w:sz="0" w:space="0" w:color="auto"/>
        <w:bottom w:val="none" w:sz="0" w:space="0" w:color="auto"/>
        <w:right w:val="none" w:sz="0" w:space="0" w:color="auto"/>
      </w:divBdr>
      <w:divsChild>
        <w:div w:id="450317692">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407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3144">
      <w:bodyDiv w:val="1"/>
      <w:marLeft w:val="0"/>
      <w:marRight w:val="0"/>
      <w:marTop w:val="0"/>
      <w:marBottom w:val="0"/>
      <w:divBdr>
        <w:top w:val="none" w:sz="0" w:space="0" w:color="auto"/>
        <w:left w:val="none" w:sz="0" w:space="0" w:color="auto"/>
        <w:bottom w:val="none" w:sz="0" w:space="0" w:color="auto"/>
        <w:right w:val="none" w:sz="0" w:space="0" w:color="auto"/>
      </w:divBdr>
      <w:divsChild>
        <w:div w:id="2035569908">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20064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89790">
      <w:bodyDiv w:val="1"/>
      <w:marLeft w:val="0"/>
      <w:marRight w:val="0"/>
      <w:marTop w:val="0"/>
      <w:marBottom w:val="0"/>
      <w:divBdr>
        <w:top w:val="none" w:sz="0" w:space="0" w:color="auto"/>
        <w:left w:val="none" w:sz="0" w:space="0" w:color="auto"/>
        <w:bottom w:val="none" w:sz="0" w:space="0" w:color="auto"/>
        <w:right w:val="none" w:sz="0" w:space="0" w:color="auto"/>
      </w:divBdr>
      <w:divsChild>
        <w:div w:id="1898933250">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69430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63262">
      <w:bodyDiv w:val="1"/>
      <w:marLeft w:val="0"/>
      <w:marRight w:val="0"/>
      <w:marTop w:val="0"/>
      <w:marBottom w:val="0"/>
      <w:divBdr>
        <w:top w:val="none" w:sz="0" w:space="0" w:color="auto"/>
        <w:left w:val="none" w:sz="0" w:space="0" w:color="auto"/>
        <w:bottom w:val="none" w:sz="0" w:space="0" w:color="auto"/>
        <w:right w:val="none" w:sz="0" w:space="0" w:color="auto"/>
      </w:divBdr>
      <w:divsChild>
        <w:div w:id="1012145790">
          <w:marLeft w:val="0"/>
          <w:marRight w:val="0"/>
          <w:marTop w:val="0"/>
          <w:marBottom w:val="0"/>
          <w:divBdr>
            <w:top w:val="threeDEngrave" w:sz="12" w:space="0" w:color="auto"/>
            <w:left w:val="threeDEngrave" w:sz="12" w:space="0" w:color="auto"/>
            <w:bottom w:val="threeDEngrave" w:sz="12" w:space="0" w:color="auto"/>
            <w:right w:val="threeDEngrave" w:sz="12" w:space="0" w:color="auto"/>
          </w:divBdr>
          <w:divsChild>
            <w:div w:id="1454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9136">
      <w:bodyDiv w:val="1"/>
      <w:marLeft w:val="0"/>
      <w:marRight w:val="0"/>
      <w:marTop w:val="0"/>
      <w:marBottom w:val="0"/>
      <w:divBdr>
        <w:top w:val="none" w:sz="0" w:space="0" w:color="auto"/>
        <w:left w:val="none" w:sz="0" w:space="0" w:color="auto"/>
        <w:bottom w:val="none" w:sz="0" w:space="0" w:color="auto"/>
        <w:right w:val="none" w:sz="0" w:space="0" w:color="auto"/>
      </w:divBdr>
      <w:divsChild>
        <w:div w:id="94603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jfcj.org/massachusetts-youth-screening-instrument-maysimaysi-2" TargetMode="External"/><Relationship Id="rId3" Type="http://schemas.openxmlformats.org/officeDocument/2006/relationships/styles" Target="styles.xml"/><Relationship Id="rId7" Type="http://schemas.openxmlformats.org/officeDocument/2006/relationships/hyperlink" Target="http://www.prpress.com/Massachusetts-Youth-Screening-Instrument-Users-Manual-Technical-Report-MAYSI-2-Also-MAYSIWARE-software_p_170.html" TargetMode="External"/><Relationship Id="rId12" Type="http://schemas.openxmlformats.org/officeDocument/2006/relationships/hyperlink" Target="http://www.prpress.com/MAYSI-2-2006-Massachusetts-Youth-Screening-Instrument-Users-Manual-Technical-Report-_p_17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sap.us/MAYSI2.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ysap.us/Index.html" TargetMode="Externa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C739-DF39-4316-84E0-B13137AC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6400</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Clingan</dc:creator>
  <cp:lastModifiedBy>Shelley Clingan</cp:lastModifiedBy>
  <cp:revision>3</cp:revision>
  <cp:lastPrinted>2014-07-22T19:19:00Z</cp:lastPrinted>
  <dcterms:created xsi:type="dcterms:W3CDTF">2014-07-29T20:56:00Z</dcterms:created>
  <dcterms:modified xsi:type="dcterms:W3CDTF">2014-07-29T20:57:00Z</dcterms:modified>
</cp:coreProperties>
</file>